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F5" w:rsidRPr="00D57569" w:rsidRDefault="000F7AF5" w:rsidP="000F7AF5">
      <w:pPr>
        <w:pStyle w:val="NormalWeb"/>
        <w:shd w:val="clear" w:color="auto" w:fill="FFFFFF"/>
        <w:spacing w:before="225" w:beforeAutospacing="0" w:after="225" w:afterAutospacing="0"/>
        <w:jc w:val="center"/>
        <w:rPr>
          <w:rFonts w:asciiTheme="minorHAnsi" w:hAnsiTheme="minorHAnsi"/>
          <w:sz w:val="22"/>
          <w:szCs w:val="22"/>
        </w:rPr>
      </w:pPr>
      <w:bookmarkStart w:id="0" w:name="_GoBack"/>
      <w:bookmarkEnd w:id="0"/>
      <w:r w:rsidRPr="00C35620">
        <w:rPr>
          <w:rFonts w:asciiTheme="minorHAnsi" w:hAnsiTheme="minorHAnsi"/>
          <w:b/>
          <w:sz w:val="22"/>
          <w:szCs w:val="22"/>
          <w:u w:val="single"/>
        </w:rPr>
        <w:t>Application Requirements - Checklist</w:t>
      </w:r>
    </w:p>
    <w:p w:rsidR="000F7AF5" w:rsidRPr="00C35620" w:rsidRDefault="000F7AF5" w:rsidP="000F7AF5">
      <w:pPr>
        <w:pStyle w:val="Default"/>
        <w:numPr>
          <w:ilvl w:val="0"/>
          <w:numId w:val="1"/>
        </w:numPr>
        <w:rPr>
          <w:rFonts w:asciiTheme="minorHAnsi" w:hAnsiTheme="minorHAnsi"/>
          <w:color w:val="auto"/>
          <w:sz w:val="22"/>
          <w:szCs w:val="22"/>
        </w:rPr>
      </w:pPr>
      <w:r w:rsidRPr="00C35620">
        <w:rPr>
          <w:rFonts w:asciiTheme="minorHAnsi" w:hAnsiTheme="minorHAnsi"/>
          <w:b/>
          <w:color w:val="auto"/>
          <w:sz w:val="22"/>
          <w:szCs w:val="22"/>
        </w:rPr>
        <w:t>Bachelor of Science in Nursing (BSN) or MSN</w:t>
      </w:r>
      <w:r w:rsidRPr="00C35620">
        <w:rPr>
          <w:rFonts w:asciiTheme="minorHAnsi" w:hAnsiTheme="minorHAnsi"/>
          <w:color w:val="auto"/>
          <w:sz w:val="22"/>
          <w:szCs w:val="22"/>
        </w:rPr>
        <w:t xml:space="preserve"> from a regionally accredited college or university with a nursing program that is accredited by a nationally recognized nursing accrediting agency (CCNE or ACEN).</w:t>
      </w:r>
    </w:p>
    <w:p w:rsidR="000F7AF5" w:rsidRPr="00C35620" w:rsidRDefault="000F7AF5" w:rsidP="000F7AF5">
      <w:pPr>
        <w:pStyle w:val="Default"/>
        <w:numPr>
          <w:ilvl w:val="0"/>
          <w:numId w:val="1"/>
        </w:numPr>
        <w:rPr>
          <w:rFonts w:asciiTheme="minorHAnsi" w:hAnsiTheme="minorHAnsi"/>
          <w:color w:val="auto"/>
          <w:sz w:val="22"/>
          <w:szCs w:val="22"/>
        </w:rPr>
      </w:pPr>
      <w:r w:rsidRPr="00C35620">
        <w:rPr>
          <w:rFonts w:asciiTheme="minorHAnsi" w:eastAsia="Times New Roman" w:hAnsiTheme="minorHAnsi"/>
          <w:b/>
          <w:bCs/>
          <w:sz w:val="22"/>
          <w:szCs w:val="22"/>
        </w:rPr>
        <w:t>Registered Nursing License: </w:t>
      </w:r>
      <w:r w:rsidRPr="00C35620">
        <w:rPr>
          <w:rFonts w:asciiTheme="minorHAnsi" w:eastAsia="Times New Roman" w:hAnsiTheme="minorHAnsi"/>
          <w:sz w:val="22"/>
          <w:szCs w:val="22"/>
        </w:rPr>
        <w:t>Unencumbered licensure in the state of Missouri is required prior to admission (not application).</w:t>
      </w:r>
      <w:r>
        <w:rPr>
          <w:rFonts w:asciiTheme="minorHAnsi" w:eastAsia="Times New Roman" w:hAnsiTheme="minorHAnsi"/>
          <w:sz w:val="22"/>
          <w:szCs w:val="22"/>
        </w:rPr>
        <w:t xml:space="preserve">  Provide a copy of RN card(s) and online verification of expiration date(s).</w:t>
      </w:r>
    </w:p>
    <w:p w:rsidR="000F7AF5" w:rsidRPr="00C35620" w:rsidRDefault="000F7AF5" w:rsidP="000F7AF5">
      <w:pPr>
        <w:pStyle w:val="Default"/>
        <w:numPr>
          <w:ilvl w:val="0"/>
          <w:numId w:val="1"/>
        </w:numPr>
        <w:rPr>
          <w:rFonts w:asciiTheme="minorHAnsi" w:hAnsiTheme="minorHAnsi"/>
          <w:color w:val="auto"/>
          <w:sz w:val="22"/>
          <w:szCs w:val="22"/>
        </w:rPr>
      </w:pPr>
      <w:r w:rsidRPr="00C35620">
        <w:rPr>
          <w:rFonts w:asciiTheme="minorHAnsi" w:eastAsia="Times New Roman" w:hAnsiTheme="minorHAnsi"/>
          <w:b/>
          <w:bCs/>
          <w:sz w:val="22"/>
          <w:szCs w:val="22"/>
        </w:rPr>
        <w:t>Minimum one-year full-time work experience, or its part-time equivalent, as an RN in a critical care setting</w:t>
      </w:r>
      <w:r w:rsidRPr="00C35620">
        <w:rPr>
          <w:rFonts w:asciiTheme="minorHAnsi" w:eastAsia="Times New Roman" w:hAnsiTheme="minorHAnsi"/>
          <w:sz w:val="22"/>
          <w:szCs w:val="22"/>
        </w:rPr>
        <w:t> (ICU strongly preferred).</w:t>
      </w:r>
    </w:p>
    <w:p w:rsidR="000F7AF5" w:rsidRPr="00C35620" w:rsidRDefault="000F7AF5" w:rsidP="000F7AF5">
      <w:pPr>
        <w:pStyle w:val="Default"/>
        <w:numPr>
          <w:ilvl w:val="0"/>
          <w:numId w:val="1"/>
        </w:numPr>
        <w:rPr>
          <w:rFonts w:asciiTheme="minorHAnsi" w:hAnsiTheme="minorHAnsi"/>
          <w:color w:val="auto"/>
          <w:sz w:val="22"/>
          <w:szCs w:val="22"/>
        </w:rPr>
      </w:pPr>
      <w:r w:rsidRPr="00C35620">
        <w:rPr>
          <w:rFonts w:asciiTheme="minorHAnsi" w:eastAsia="Times New Roman" w:hAnsiTheme="minorHAnsi"/>
          <w:b/>
          <w:bCs/>
          <w:sz w:val="22"/>
          <w:szCs w:val="22"/>
        </w:rPr>
        <w:t>Specific undergraduate coursework: </w:t>
      </w:r>
    </w:p>
    <w:p w:rsidR="000F7AF5" w:rsidRPr="00C35620" w:rsidRDefault="000F7AF5" w:rsidP="000F7AF5">
      <w:pPr>
        <w:pStyle w:val="Default"/>
        <w:numPr>
          <w:ilvl w:val="1"/>
          <w:numId w:val="1"/>
        </w:numPr>
        <w:rPr>
          <w:rFonts w:asciiTheme="minorHAnsi" w:hAnsiTheme="minorHAnsi"/>
          <w:color w:val="auto"/>
          <w:sz w:val="22"/>
          <w:szCs w:val="22"/>
        </w:rPr>
      </w:pPr>
      <w:r w:rsidRPr="00C35620">
        <w:rPr>
          <w:rFonts w:asciiTheme="minorHAnsi" w:eastAsia="Times New Roman" w:hAnsiTheme="minorHAnsi"/>
          <w:sz w:val="22"/>
          <w:szCs w:val="22"/>
        </w:rPr>
        <w:t>General Chemistry I</w:t>
      </w:r>
    </w:p>
    <w:p w:rsidR="000F7AF5" w:rsidRPr="00C35620" w:rsidRDefault="000F7AF5" w:rsidP="000F7AF5">
      <w:pPr>
        <w:pStyle w:val="Default"/>
        <w:numPr>
          <w:ilvl w:val="1"/>
          <w:numId w:val="1"/>
        </w:numPr>
        <w:rPr>
          <w:rFonts w:asciiTheme="minorHAnsi" w:hAnsiTheme="minorHAnsi"/>
          <w:color w:val="auto"/>
          <w:sz w:val="22"/>
          <w:szCs w:val="22"/>
        </w:rPr>
      </w:pPr>
      <w:r w:rsidRPr="00C35620">
        <w:rPr>
          <w:rFonts w:asciiTheme="minorHAnsi" w:eastAsia="Times New Roman" w:hAnsiTheme="minorHAnsi"/>
          <w:sz w:val="22"/>
          <w:szCs w:val="22"/>
        </w:rPr>
        <w:t>Organic Chemistry I with lab (grade of B or better highly recommended)</w:t>
      </w:r>
    </w:p>
    <w:p w:rsidR="000F7AF5" w:rsidRPr="00C35620" w:rsidRDefault="000F7AF5" w:rsidP="000F7AF5">
      <w:pPr>
        <w:pStyle w:val="Default"/>
        <w:numPr>
          <w:ilvl w:val="1"/>
          <w:numId w:val="1"/>
        </w:numPr>
        <w:rPr>
          <w:rFonts w:asciiTheme="minorHAnsi" w:hAnsiTheme="minorHAnsi"/>
          <w:color w:val="auto"/>
          <w:sz w:val="22"/>
          <w:szCs w:val="22"/>
        </w:rPr>
      </w:pPr>
      <w:r w:rsidRPr="00C35620">
        <w:rPr>
          <w:rFonts w:asciiTheme="minorHAnsi" w:eastAsia="Times New Roman" w:hAnsiTheme="minorHAnsi"/>
          <w:sz w:val="22"/>
          <w:szCs w:val="22"/>
        </w:rPr>
        <w:t>Undergraduate freestanding Health Assessment course (grade of B or better prior to the first clinical course)</w:t>
      </w:r>
    </w:p>
    <w:p w:rsidR="000F7AF5" w:rsidRPr="00C35620" w:rsidRDefault="000F7AF5" w:rsidP="000F7AF5">
      <w:pPr>
        <w:pStyle w:val="Default"/>
        <w:numPr>
          <w:ilvl w:val="1"/>
          <w:numId w:val="1"/>
        </w:numPr>
        <w:rPr>
          <w:rFonts w:asciiTheme="minorHAnsi" w:hAnsiTheme="minorHAnsi"/>
          <w:color w:val="auto"/>
          <w:sz w:val="22"/>
          <w:szCs w:val="22"/>
        </w:rPr>
      </w:pPr>
      <w:r w:rsidRPr="00C35620">
        <w:rPr>
          <w:rFonts w:asciiTheme="minorHAnsi" w:eastAsia="Times New Roman" w:hAnsiTheme="minorHAnsi"/>
          <w:sz w:val="22"/>
          <w:szCs w:val="22"/>
        </w:rPr>
        <w:t>Undergraduate statistics (or quantitative analysis) course recommended</w:t>
      </w:r>
    </w:p>
    <w:p w:rsidR="000F7AF5" w:rsidRPr="00C35620" w:rsidRDefault="00684BBF" w:rsidP="000F7AF5">
      <w:pPr>
        <w:pStyle w:val="Default"/>
        <w:numPr>
          <w:ilvl w:val="0"/>
          <w:numId w:val="2"/>
        </w:numPr>
        <w:rPr>
          <w:rFonts w:asciiTheme="minorHAnsi" w:hAnsiTheme="minorHAnsi"/>
          <w:color w:val="auto"/>
          <w:sz w:val="22"/>
          <w:szCs w:val="22"/>
        </w:rPr>
      </w:pPr>
      <w:hyperlink r:id="rId5" w:tgtFrame="_blank" w:tooltip="ets" w:history="1">
        <w:r w:rsidR="000F7AF5" w:rsidRPr="00C35620">
          <w:rPr>
            <w:rStyle w:val="Hyperlink"/>
            <w:rFonts w:asciiTheme="minorHAnsi" w:hAnsiTheme="minorHAnsi"/>
            <w:b/>
            <w:bCs/>
            <w:color w:val="92D050"/>
            <w:sz w:val="22"/>
            <w:szCs w:val="22"/>
            <w:u w:val="none"/>
          </w:rPr>
          <w:t>Graduate Record Exam</w:t>
        </w:r>
      </w:hyperlink>
      <w:r w:rsidR="000F7AF5" w:rsidRPr="00C35620">
        <w:rPr>
          <w:rFonts w:asciiTheme="minorHAnsi" w:hAnsiTheme="minorHAnsi"/>
          <w:b/>
          <w:bCs/>
          <w:sz w:val="22"/>
          <w:szCs w:val="22"/>
        </w:rPr>
        <w:t>:</w:t>
      </w:r>
      <w:r w:rsidR="000F7AF5" w:rsidRPr="00C35620">
        <w:rPr>
          <w:rStyle w:val="apple-converted-space"/>
          <w:rFonts w:asciiTheme="minorHAnsi" w:hAnsiTheme="minorHAnsi"/>
          <w:b/>
          <w:bCs/>
          <w:sz w:val="22"/>
          <w:szCs w:val="22"/>
        </w:rPr>
        <w:t> </w:t>
      </w:r>
      <w:r w:rsidR="000F7AF5" w:rsidRPr="00C35620">
        <w:rPr>
          <w:rStyle w:val="Emphasis"/>
          <w:rFonts w:asciiTheme="minorHAnsi" w:hAnsiTheme="minorHAnsi"/>
          <w:sz w:val="22"/>
          <w:szCs w:val="22"/>
        </w:rPr>
        <w:t>MUST BE TAKEN BY AUGUST 15 OF APPLICATION YEAR.</w:t>
      </w:r>
      <w:r w:rsidR="000F7AF5" w:rsidRPr="00C35620">
        <w:rPr>
          <w:rStyle w:val="apple-converted-space"/>
          <w:rFonts w:asciiTheme="minorHAnsi" w:hAnsiTheme="minorHAnsi"/>
          <w:i/>
          <w:iCs/>
          <w:sz w:val="22"/>
          <w:szCs w:val="22"/>
        </w:rPr>
        <w:t> </w:t>
      </w:r>
      <w:r w:rsidR="000F7AF5" w:rsidRPr="00C35620">
        <w:rPr>
          <w:rFonts w:asciiTheme="minorHAnsi" w:hAnsiTheme="minorHAnsi"/>
          <w:sz w:val="22"/>
          <w:szCs w:val="22"/>
        </w:rPr>
        <w:t>A combined verbal and quantitative (QV) score of 300 (1000 older scale) or above and an Analytical Writing (AW) score of 3.5 or greater (all scores are reviewed in relation to the overall application).</w:t>
      </w:r>
    </w:p>
    <w:p w:rsidR="000F7AF5" w:rsidRPr="00C35620" w:rsidRDefault="000F7AF5" w:rsidP="000F7AF5">
      <w:pPr>
        <w:pStyle w:val="Default"/>
        <w:numPr>
          <w:ilvl w:val="1"/>
          <w:numId w:val="2"/>
        </w:numPr>
        <w:rPr>
          <w:rFonts w:asciiTheme="minorHAnsi" w:hAnsiTheme="minorHAnsi"/>
          <w:color w:val="auto"/>
          <w:sz w:val="22"/>
          <w:szCs w:val="22"/>
        </w:rPr>
      </w:pPr>
      <w:r w:rsidRPr="00C35620">
        <w:rPr>
          <w:rFonts w:asciiTheme="minorHAnsi" w:hAnsiTheme="minorHAnsi"/>
          <w:sz w:val="22"/>
          <w:szCs w:val="22"/>
        </w:rPr>
        <w:t>GRE must be completed within 5 years prior to application.</w:t>
      </w:r>
    </w:p>
    <w:p w:rsidR="000F7AF5" w:rsidRPr="00C35620" w:rsidRDefault="000F7AF5" w:rsidP="000F7AF5">
      <w:pPr>
        <w:pStyle w:val="Default"/>
        <w:numPr>
          <w:ilvl w:val="1"/>
          <w:numId w:val="2"/>
        </w:numPr>
        <w:rPr>
          <w:rFonts w:asciiTheme="minorHAnsi" w:hAnsiTheme="minorHAnsi"/>
          <w:color w:val="auto"/>
          <w:sz w:val="22"/>
          <w:szCs w:val="22"/>
        </w:rPr>
      </w:pPr>
      <w:r w:rsidRPr="00C35620">
        <w:rPr>
          <w:rFonts w:asciiTheme="minorHAnsi" w:hAnsiTheme="minorHAnsi"/>
          <w:i/>
          <w:sz w:val="22"/>
          <w:szCs w:val="22"/>
        </w:rPr>
        <w:t>OFFICIAL</w:t>
      </w:r>
      <w:r w:rsidRPr="00C35620">
        <w:rPr>
          <w:rFonts w:asciiTheme="minorHAnsi" w:hAnsiTheme="minorHAnsi"/>
          <w:sz w:val="22"/>
          <w:szCs w:val="22"/>
        </w:rPr>
        <w:t xml:space="preserve"> GRE test results must be mailed to UMKC. (The Institution code for UMKC is 6872. Contact UMKC at 816-235-2576 with any questions.) </w:t>
      </w:r>
    </w:p>
    <w:p w:rsidR="000F7AF5" w:rsidRPr="000F7AF5" w:rsidRDefault="000F7AF5" w:rsidP="000F7AF5">
      <w:pPr>
        <w:pStyle w:val="Default"/>
        <w:numPr>
          <w:ilvl w:val="1"/>
          <w:numId w:val="2"/>
        </w:numPr>
        <w:rPr>
          <w:rFonts w:asciiTheme="minorHAnsi" w:hAnsiTheme="minorHAnsi"/>
          <w:color w:val="auto"/>
          <w:sz w:val="22"/>
          <w:szCs w:val="22"/>
        </w:rPr>
      </w:pPr>
      <w:r w:rsidRPr="000F7AF5">
        <w:rPr>
          <w:rFonts w:asciiTheme="minorHAnsi" w:hAnsiTheme="minorHAnsi"/>
          <w:i/>
          <w:sz w:val="22"/>
          <w:szCs w:val="22"/>
        </w:rPr>
        <w:t>Copy</w:t>
      </w:r>
      <w:r w:rsidRPr="000F7AF5">
        <w:rPr>
          <w:rFonts w:asciiTheme="minorHAnsi" w:hAnsiTheme="minorHAnsi"/>
          <w:sz w:val="22"/>
          <w:szCs w:val="22"/>
        </w:rPr>
        <w:t xml:space="preserve"> of GRE test results must be provided to TMC School of Nurse Anesthesia</w:t>
      </w:r>
      <w:r w:rsidRPr="000F7AF5">
        <w:rPr>
          <w:rFonts w:asciiTheme="minorHAnsi" w:hAnsiTheme="minorHAnsi"/>
          <w:color w:val="auto"/>
          <w:sz w:val="22"/>
          <w:szCs w:val="22"/>
        </w:rPr>
        <w:t xml:space="preserve"> </w:t>
      </w:r>
    </w:p>
    <w:p w:rsidR="000F7AF5" w:rsidRPr="00D40BD6" w:rsidRDefault="000F7AF5" w:rsidP="000F7AF5">
      <w:pPr>
        <w:pStyle w:val="Default"/>
        <w:numPr>
          <w:ilvl w:val="0"/>
          <w:numId w:val="2"/>
        </w:numPr>
        <w:rPr>
          <w:rFonts w:asciiTheme="minorHAnsi" w:hAnsiTheme="minorHAnsi"/>
          <w:color w:val="auto"/>
          <w:sz w:val="22"/>
          <w:szCs w:val="22"/>
          <w:highlight w:val="yellow"/>
        </w:rPr>
      </w:pPr>
      <w:r w:rsidRPr="000F7AF5">
        <w:rPr>
          <w:rFonts w:asciiTheme="minorHAnsi" w:eastAsia="Times New Roman" w:hAnsiTheme="minorHAnsi"/>
          <w:b/>
          <w:bCs/>
          <w:sz w:val="22"/>
          <w:szCs w:val="22"/>
        </w:rPr>
        <w:t>Basic Life Support (BLS), Advanced Cardiac Life Support (ACLS) &amp; Pediatric Advanced Life Support</w:t>
      </w:r>
      <w:r w:rsidRPr="00C35620">
        <w:rPr>
          <w:rFonts w:asciiTheme="minorHAnsi" w:eastAsia="Times New Roman" w:hAnsiTheme="minorHAnsi"/>
          <w:b/>
          <w:bCs/>
          <w:sz w:val="22"/>
          <w:szCs w:val="22"/>
        </w:rPr>
        <w:t xml:space="preserve"> (PALS): </w:t>
      </w:r>
      <w:r w:rsidRPr="00692576">
        <w:rPr>
          <w:rFonts w:asciiTheme="minorHAnsi" w:eastAsia="Times New Roman" w:hAnsiTheme="minorHAnsi"/>
          <w:bCs/>
          <w:sz w:val="22"/>
          <w:szCs w:val="22"/>
        </w:rPr>
        <w:t>Copies of</w:t>
      </w:r>
      <w:r>
        <w:rPr>
          <w:rFonts w:asciiTheme="minorHAnsi" w:eastAsia="Times New Roman" w:hAnsiTheme="minorHAnsi"/>
          <w:b/>
          <w:bCs/>
          <w:sz w:val="22"/>
          <w:szCs w:val="22"/>
        </w:rPr>
        <w:t xml:space="preserve"> </w:t>
      </w:r>
      <w:r>
        <w:rPr>
          <w:rFonts w:asciiTheme="minorHAnsi" w:eastAsia="Times New Roman" w:hAnsiTheme="minorHAnsi"/>
          <w:bCs/>
          <w:sz w:val="22"/>
          <w:szCs w:val="22"/>
        </w:rPr>
        <w:t>ACLS/</w:t>
      </w:r>
      <w:r w:rsidRPr="009F54C2">
        <w:rPr>
          <w:rFonts w:asciiTheme="minorHAnsi" w:eastAsia="Times New Roman" w:hAnsiTheme="minorHAnsi"/>
          <w:bCs/>
          <w:sz w:val="22"/>
          <w:szCs w:val="22"/>
        </w:rPr>
        <w:t xml:space="preserve">BLS required for application.  PALS </w:t>
      </w:r>
      <w:r w:rsidRPr="009F54C2">
        <w:rPr>
          <w:rFonts w:asciiTheme="minorHAnsi" w:eastAsia="Times New Roman" w:hAnsiTheme="minorHAnsi"/>
          <w:sz w:val="22"/>
          <w:szCs w:val="22"/>
        </w:rPr>
        <w:t>required</w:t>
      </w:r>
      <w:r w:rsidRPr="00C35620">
        <w:rPr>
          <w:rFonts w:asciiTheme="minorHAnsi" w:eastAsia="Times New Roman" w:hAnsiTheme="minorHAnsi"/>
          <w:sz w:val="22"/>
          <w:szCs w:val="22"/>
        </w:rPr>
        <w:t xml:space="preserve"> prior to admission.</w:t>
      </w:r>
      <w:r>
        <w:rPr>
          <w:rFonts w:asciiTheme="minorHAnsi" w:eastAsia="Times New Roman" w:hAnsiTheme="minorHAnsi"/>
          <w:sz w:val="22"/>
          <w:szCs w:val="22"/>
        </w:rPr>
        <w:t xml:space="preserve"> </w:t>
      </w:r>
    </w:p>
    <w:p w:rsidR="000F7AF5" w:rsidRPr="00C35620" w:rsidRDefault="000F7AF5" w:rsidP="000F7AF5">
      <w:pPr>
        <w:pStyle w:val="Default"/>
        <w:numPr>
          <w:ilvl w:val="0"/>
          <w:numId w:val="2"/>
        </w:numPr>
        <w:rPr>
          <w:rFonts w:asciiTheme="minorHAnsi" w:hAnsiTheme="minorHAnsi"/>
          <w:color w:val="auto"/>
          <w:sz w:val="22"/>
          <w:szCs w:val="22"/>
        </w:rPr>
      </w:pPr>
      <w:r w:rsidRPr="00C35620">
        <w:rPr>
          <w:rFonts w:asciiTheme="minorHAnsi" w:hAnsiTheme="minorHAnsi"/>
          <w:b/>
          <w:sz w:val="22"/>
          <w:szCs w:val="22"/>
        </w:rPr>
        <w:t>Minimum c</w:t>
      </w:r>
      <w:r w:rsidRPr="00C35620">
        <w:rPr>
          <w:rFonts w:asciiTheme="minorHAnsi" w:hAnsiTheme="minorHAnsi" w:cs="GillSans Light"/>
          <w:b/>
          <w:sz w:val="22"/>
          <w:szCs w:val="22"/>
        </w:rPr>
        <w:t xml:space="preserve">umulative grade point average of 3.2 </w:t>
      </w:r>
      <w:r w:rsidRPr="00C35620">
        <w:rPr>
          <w:rFonts w:asciiTheme="minorHAnsi" w:hAnsiTheme="minorHAnsi"/>
          <w:b/>
          <w:sz w:val="22"/>
          <w:szCs w:val="22"/>
        </w:rPr>
        <w:t>for the BSN or MSN degree</w:t>
      </w:r>
      <w:r w:rsidRPr="00C35620">
        <w:rPr>
          <w:rFonts w:asciiTheme="minorHAnsi" w:hAnsiTheme="minorHAnsi"/>
          <w:sz w:val="22"/>
          <w:szCs w:val="22"/>
        </w:rPr>
        <w:t xml:space="preserve"> (based </w:t>
      </w:r>
      <w:r w:rsidRPr="00C35620">
        <w:rPr>
          <w:rFonts w:asciiTheme="minorHAnsi" w:hAnsiTheme="minorHAnsi" w:cs="GillSans Light"/>
          <w:sz w:val="22"/>
          <w:szCs w:val="22"/>
        </w:rPr>
        <w:t>on a 4.0 scale</w:t>
      </w:r>
      <w:r w:rsidRPr="00C35620">
        <w:rPr>
          <w:rFonts w:asciiTheme="minorHAnsi" w:hAnsiTheme="minorHAnsi"/>
          <w:sz w:val="22"/>
          <w:szCs w:val="22"/>
        </w:rPr>
        <w:t xml:space="preserve">).  </w:t>
      </w:r>
      <w:r w:rsidRPr="00C35620">
        <w:rPr>
          <w:rFonts w:asciiTheme="minorHAnsi" w:eastAsia="Times New Roman" w:hAnsiTheme="minorHAnsi"/>
          <w:sz w:val="22"/>
          <w:szCs w:val="22"/>
        </w:rPr>
        <w:t>Emphasis will be placed on science and math course GPA.</w:t>
      </w:r>
      <w:r w:rsidRPr="00C35620">
        <w:rPr>
          <w:rFonts w:asciiTheme="minorHAnsi" w:eastAsia="Times New Roman" w:hAnsiTheme="minorHAnsi"/>
          <w:b/>
          <w:bCs/>
          <w:sz w:val="22"/>
          <w:szCs w:val="22"/>
        </w:rPr>
        <w:t>*</w:t>
      </w:r>
    </w:p>
    <w:p w:rsidR="000F7AF5" w:rsidRPr="00C35620" w:rsidRDefault="000F7AF5" w:rsidP="000F7AF5">
      <w:pPr>
        <w:pStyle w:val="Default"/>
        <w:numPr>
          <w:ilvl w:val="0"/>
          <w:numId w:val="2"/>
        </w:numPr>
        <w:rPr>
          <w:rFonts w:asciiTheme="minorHAnsi" w:hAnsiTheme="minorHAnsi"/>
          <w:color w:val="auto"/>
          <w:sz w:val="22"/>
          <w:szCs w:val="22"/>
        </w:rPr>
      </w:pPr>
      <w:r w:rsidRPr="00C35620">
        <w:rPr>
          <w:rFonts w:asciiTheme="minorHAnsi" w:eastAsia="Times New Roman" w:hAnsiTheme="minorHAnsi"/>
          <w:b/>
          <w:bCs/>
          <w:sz w:val="22"/>
          <w:szCs w:val="22"/>
        </w:rPr>
        <w:t>Three (3) Professional References: </w:t>
      </w:r>
    </w:p>
    <w:p w:rsidR="000F7AF5" w:rsidRPr="00C35620" w:rsidRDefault="000F7AF5" w:rsidP="000F7AF5">
      <w:pPr>
        <w:pStyle w:val="Default"/>
        <w:numPr>
          <w:ilvl w:val="1"/>
          <w:numId w:val="2"/>
        </w:numPr>
        <w:rPr>
          <w:rFonts w:asciiTheme="minorHAnsi" w:hAnsiTheme="minorHAnsi"/>
          <w:color w:val="auto"/>
          <w:sz w:val="22"/>
          <w:szCs w:val="22"/>
        </w:rPr>
      </w:pPr>
      <w:r w:rsidRPr="00C35620">
        <w:rPr>
          <w:rFonts w:asciiTheme="minorHAnsi" w:eastAsia="Times New Roman" w:hAnsiTheme="minorHAnsi"/>
          <w:sz w:val="22"/>
          <w:szCs w:val="22"/>
        </w:rPr>
        <w:t>Immediate supervisor</w:t>
      </w:r>
    </w:p>
    <w:p w:rsidR="000F7AF5" w:rsidRPr="00C35620" w:rsidRDefault="000F7AF5" w:rsidP="000F7AF5">
      <w:pPr>
        <w:pStyle w:val="Default"/>
        <w:numPr>
          <w:ilvl w:val="1"/>
          <w:numId w:val="2"/>
        </w:numPr>
        <w:rPr>
          <w:rFonts w:asciiTheme="minorHAnsi" w:hAnsiTheme="minorHAnsi"/>
          <w:color w:val="auto"/>
          <w:sz w:val="22"/>
          <w:szCs w:val="22"/>
        </w:rPr>
      </w:pPr>
      <w:r w:rsidRPr="00C35620">
        <w:rPr>
          <w:rFonts w:asciiTheme="minorHAnsi" w:eastAsia="Times New Roman" w:hAnsiTheme="minorHAnsi"/>
          <w:sz w:val="22"/>
          <w:szCs w:val="22"/>
        </w:rPr>
        <w:t xml:space="preserve">Faculty professor from BSN or MSN program representing a capstone or practicum project  or an additional professional reference </w:t>
      </w:r>
    </w:p>
    <w:p w:rsidR="000F7AF5" w:rsidRPr="00C35620" w:rsidRDefault="000F7AF5" w:rsidP="000F7AF5">
      <w:pPr>
        <w:pStyle w:val="Default"/>
        <w:numPr>
          <w:ilvl w:val="1"/>
          <w:numId w:val="2"/>
        </w:numPr>
        <w:rPr>
          <w:rFonts w:asciiTheme="minorHAnsi" w:hAnsiTheme="minorHAnsi"/>
          <w:color w:val="auto"/>
          <w:sz w:val="22"/>
          <w:szCs w:val="22"/>
        </w:rPr>
      </w:pPr>
      <w:r w:rsidRPr="00C35620">
        <w:rPr>
          <w:rFonts w:asciiTheme="minorHAnsi" w:eastAsia="Times New Roman" w:hAnsiTheme="minorHAnsi"/>
          <w:sz w:val="22"/>
          <w:szCs w:val="22"/>
        </w:rPr>
        <w:t>Professional reference able to assess your professional characteristics</w:t>
      </w:r>
    </w:p>
    <w:p w:rsidR="000F7AF5" w:rsidRPr="00C35620" w:rsidRDefault="000F7AF5" w:rsidP="000F7AF5">
      <w:pPr>
        <w:pStyle w:val="Default"/>
        <w:numPr>
          <w:ilvl w:val="0"/>
          <w:numId w:val="3"/>
        </w:numPr>
        <w:rPr>
          <w:rFonts w:asciiTheme="minorHAnsi" w:hAnsiTheme="minorHAnsi"/>
          <w:color w:val="auto"/>
          <w:sz w:val="22"/>
          <w:szCs w:val="22"/>
        </w:rPr>
      </w:pPr>
      <w:r w:rsidRPr="00C35620">
        <w:rPr>
          <w:rFonts w:asciiTheme="minorHAnsi" w:eastAsia="Times New Roman" w:hAnsiTheme="minorHAnsi"/>
          <w:b/>
          <w:bCs/>
          <w:sz w:val="22"/>
          <w:szCs w:val="22"/>
        </w:rPr>
        <w:t>Personal Statement: </w:t>
      </w:r>
      <w:r w:rsidRPr="00C35620">
        <w:rPr>
          <w:rFonts w:asciiTheme="minorHAnsi" w:eastAsia="Times New Roman" w:hAnsiTheme="minorHAnsi"/>
          <w:sz w:val="22"/>
          <w:szCs w:val="22"/>
        </w:rPr>
        <w:t>This should address your professional goals and how this program will help you achieve them (include the references you used to provide this statement). (</w:t>
      </w:r>
      <w:r w:rsidRPr="00C35620">
        <w:rPr>
          <w:rFonts w:asciiTheme="minorHAnsi" w:eastAsia="Times New Roman" w:hAnsiTheme="minorHAnsi"/>
          <w:i/>
          <w:sz w:val="22"/>
          <w:szCs w:val="22"/>
        </w:rPr>
        <w:t>maximum 1 page</w:t>
      </w:r>
      <w:r w:rsidRPr="00C35620">
        <w:rPr>
          <w:rFonts w:asciiTheme="minorHAnsi" w:eastAsia="Times New Roman" w:hAnsiTheme="minorHAnsi"/>
          <w:sz w:val="22"/>
          <w:szCs w:val="22"/>
        </w:rPr>
        <w:t>) (</w:t>
      </w:r>
      <w:r w:rsidRPr="00C35620">
        <w:rPr>
          <w:rFonts w:asciiTheme="minorHAnsi" w:eastAsia="Times New Roman" w:hAnsiTheme="minorHAnsi"/>
          <w:i/>
          <w:sz w:val="22"/>
          <w:szCs w:val="22"/>
        </w:rPr>
        <w:t>APA formatting strongly encouraged</w:t>
      </w:r>
      <w:r w:rsidRPr="00C35620">
        <w:rPr>
          <w:rFonts w:asciiTheme="minorHAnsi" w:eastAsia="Times New Roman" w:hAnsiTheme="minorHAnsi"/>
          <w:sz w:val="22"/>
          <w:szCs w:val="22"/>
        </w:rPr>
        <w:t>).</w:t>
      </w:r>
    </w:p>
    <w:p w:rsidR="000F7AF5" w:rsidRPr="00C35620" w:rsidRDefault="000F7AF5" w:rsidP="000F7AF5">
      <w:pPr>
        <w:pStyle w:val="Default"/>
        <w:numPr>
          <w:ilvl w:val="0"/>
          <w:numId w:val="3"/>
        </w:numPr>
        <w:rPr>
          <w:rFonts w:asciiTheme="minorHAnsi" w:hAnsiTheme="minorHAnsi"/>
          <w:color w:val="auto"/>
          <w:sz w:val="22"/>
          <w:szCs w:val="22"/>
        </w:rPr>
      </w:pPr>
      <w:r w:rsidRPr="00C35620">
        <w:rPr>
          <w:rFonts w:asciiTheme="minorHAnsi" w:eastAsia="Times New Roman" w:hAnsiTheme="minorHAnsi"/>
          <w:b/>
          <w:bCs/>
          <w:sz w:val="22"/>
          <w:szCs w:val="22"/>
        </w:rPr>
        <w:t>Official transcripts </w:t>
      </w:r>
      <w:r w:rsidRPr="00C35620">
        <w:rPr>
          <w:rFonts w:asciiTheme="minorHAnsi" w:eastAsia="Times New Roman" w:hAnsiTheme="minorHAnsi"/>
          <w:i/>
          <w:iCs/>
          <w:sz w:val="22"/>
          <w:szCs w:val="22"/>
        </w:rPr>
        <w:t>FROM EVERY COLLEGE/UNIVERSITY EVER ATTENDED.</w:t>
      </w:r>
      <w:r w:rsidRPr="00C35620">
        <w:rPr>
          <w:rFonts w:asciiTheme="minorHAnsi" w:eastAsia="Times New Roman" w:hAnsiTheme="minorHAnsi"/>
          <w:sz w:val="22"/>
          <w:szCs w:val="22"/>
        </w:rPr>
        <w:t> Official transcripts must be sent directly to the TMC School of Nurse Anesthesia.</w:t>
      </w:r>
    </w:p>
    <w:p w:rsidR="000F7AF5" w:rsidRPr="00C35620" w:rsidRDefault="000F7AF5" w:rsidP="000F7AF5">
      <w:pPr>
        <w:pStyle w:val="Default"/>
        <w:numPr>
          <w:ilvl w:val="0"/>
          <w:numId w:val="3"/>
        </w:numPr>
        <w:rPr>
          <w:rFonts w:asciiTheme="minorHAnsi" w:hAnsiTheme="minorHAnsi"/>
          <w:color w:val="auto"/>
          <w:sz w:val="22"/>
          <w:szCs w:val="22"/>
        </w:rPr>
      </w:pPr>
      <w:r w:rsidRPr="00C35620">
        <w:rPr>
          <w:rFonts w:asciiTheme="minorHAnsi" w:eastAsia="Times New Roman" w:hAnsiTheme="minorHAnsi"/>
          <w:b/>
          <w:bCs/>
          <w:sz w:val="22"/>
          <w:szCs w:val="22"/>
        </w:rPr>
        <w:t>Curriculum Vitae (CV)</w:t>
      </w:r>
    </w:p>
    <w:p w:rsidR="000F7AF5" w:rsidRPr="000527C5" w:rsidRDefault="000F7AF5" w:rsidP="000F7AF5">
      <w:pPr>
        <w:pStyle w:val="Default"/>
        <w:numPr>
          <w:ilvl w:val="0"/>
          <w:numId w:val="3"/>
        </w:numPr>
        <w:rPr>
          <w:rFonts w:asciiTheme="minorHAnsi" w:hAnsiTheme="minorHAnsi"/>
          <w:color w:val="auto"/>
          <w:sz w:val="22"/>
          <w:szCs w:val="22"/>
        </w:rPr>
      </w:pPr>
      <w:r w:rsidRPr="00C35620">
        <w:rPr>
          <w:rFonts w:asciiTheme="minorHAnsi" w:eastAsia="Times New Roman" w:hAnsiTheme="minorHAnsi"/>
          <w:b/>
          <w:bCs/>
          <w:sz w:val="22"/>
          <w:szCs w:val="22"/>
        </w:rPr>
        <w:t>Personal interview with Admissions Committee (by invitation): </w:t>
      </w:r>
      <w:r w:rsidRPr="00C35620">
        <w:rPr>
          <w:rFonts w:asciiTheme="minorHAnsi" w:eastAsia="Times New Roman" w:hAnsiTheme="minorHAnsi"/>
          <w:sz w:val="22"/>
          <w:szCs w:val="22"/>
        </w:rPr>
        <w:t>Invitations for personal interviews will be sent in September-October of each year.</w:t>
      </w:r>
    </w:p>
    <w:p w:rsidR="009D379E" w:rsidRDefault="009D379E">
      <w:pPr>
        <w:rPr>
          <w:rFonts w:eastAsia="Times New Roman" w:cs="Times New Roman"/>
          <w:b/>
          <w:bCs/>
        </w:rPr>
      </w:pPr>
    </w:p>
    <w:p w:rsidR="000F7AF5" w:rsidRDefault="000F7AF5">
      <w:pPr>
        <w:rPr>
          <w:rFonts w:eastAsia="Times New Roman" w:cs="Times New Roman"/>
          <w:b/>
          <w:bCs/>
        </w:rPr>
      </w:pPr>
      <w:r>
        <w:rPr>
          <w:rFonts w:eastAsia="Times New Roman" w:cs="Times New Roman"/>
          <w:b/>
          <w:bCs/>
        </w:rPr>
        <w:t>Deadline for all application materials is August 15</w:t>
      </w:r>
      <w:r w:rsidRPr="000F7AF5">
        <w:rPr>
          <w:rFonts w:eastAsia="Times New Roman" w:cs="Times New Roman"/>
          <w:b/>
          <w:bCs/>
          <w:vertAlign w:val="superscript"/>
        </w:rPr>
        <w:t>th</w:t>
      </w:r>
    </w:p>
    <w:p w:rsidR="000F7AF5" w:rsidRDefault="000F7AF5">
      <w:pPr>
        <w:rPr>
          <w:rFonts w:eastAsia="Times New Roman" w:cs="Times New Roman"/>
          <w:b/>
          <w:bCs/>
        </w:rPr>
      </w:pPr>
      <w:r>
        <w:rPr>
          <w:rFonts w:eastAsia="Times New Roman" w:cs="Times New Roman"/>
          <w:b/>
          <w:bCs/>
        </w:rPr>
        <w:t>New classes begin in May of each year.</w:t>
      </w:r>
    </w:p>
    <w:p w:rsidR="000F7AF5" w:rsidRDefault="000F7AF5">
      <w:r>
        <w:rPr>
          <w:rFonts w:eastAsia="Times New Roman" w:cs="Times New Roman"/>
          <w:b/>
          <w:bCs/>
        </w:rPr>
        <w:t xml:space="preserve">For specific information on the application process or application materials, visit </w:t>
      </w:r>
      <w:hyperlink r:id="rId6" w:history="1">
        <w:r w:rsidRPr="002F50A8">
          <w:rPr>
            <w:rStyle w:val="Hyperlink"/>
            <w:rFonts w:eastAsia="Times New Roman" w:cs="Times New Roman"/>
            <w:b/>
            <w:bCs/>
          </w:rPr>
          <w:t>www.trumed.org/crna</w:t>
        </w:r>
      </w:hyperlink>
      <w:r>
        <w:rPr>
          <w:rFonts w:eastAsia="Times New Roman" w:cs="Times New Roman"/>
          <w:b/>
          <w:bCs/>
        </w:rPr>
        <w:t xml:space="preserve"> or call </w:t>
      </w:r>
      <w:r w:rsidRPr="000F7AF5">
        <w:rPr>
          <w:rFonts w:eastAsia="Times New Roman" w:cs="Times New Roman"/>
          <w:b/>
          <w:bCs/>
          <w:color w:val="0070C0"/>
        </w:rPr>
        <w:t xml:space="preserve">816-404-1127 </w:t>
      </w:r>
      <w:r>
        <w:rPr>
          <w:rFonts w:eastAsia="Times New Roman" w:cs="Times New Roman"/>
          <w:b/>
          <w:bCs/>
        </w:rPr>
        <w:t>for more information.</w:t>
      </w:r>
    </w:p>
    <w:sectPr w:rsidR="000F7AF5" w:rsidSect="000527C5">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7474"/>
    <w:multiLevelType w:val="hybridMultilevel"/>
    <w:tmpl w:val="1C00767C"/>
    <w:lvl w:ilvl="0" w:tplc="AE381B48">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A4524"/>
    <w:multiLevelType w:val="hybridMultilevel"/>
    <w:tmpl w:val="B360DB7A"/>
    <w:lvl w:ilvl="0" w:tplc="AE381B48">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87434"/>
    <w:multiLevelType w:val="hybridMultilevel"/>
    <w:tmpl w:val="9F6223D4"/>
    <w:lvl w:ilvl="0" w:tplc="AE381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F5"/>
    <w:rsid w:val="000F7AF5"/>
    <w:rsid w:val="00684BBF"/>
    <w:rsid w:val="009D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5C8C4-D02F-4872-AEC8-059F7FE1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AF5"/>
    <w:rPr>
      <w:color w:val="0000FF" w:themeColor="hyperlink"/>
      <w:u w:val="single"/>
    </w:rPr>
  </w:style>
  <w:style w:type="paragraph" w:styleId="ListParagraph">
    <w:name w:val="List Paragraph"/>
    <w:basedOn w:val="Normal"/>
    <w:uiPriority w:val="34"/>
    <w:qFormat/>
    <w:rsid w:val="000F7AF5"/>
    <w:pPr>
      <w:ind w:left="720"/>
      <w:contextualSpacing/>
    </w:pPr>
  </w:style>
  <w:style w:type="paragraph" w:customStyle="1" w:styleId="Default">
    <w:name w:val="Default"/>
    <w:rsid w:val="000F7A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DefaultParagraphFont"/>
    <w:rsid w:val="000F7AF5"/>
  </w:style>
  <w:style w:type="character" w:styleId="Emphasis">
    <w:name w:val="Emphasis"/>
    <w:basedOn w:val="DefaultParagraphFont"/>
    <w:uiPriority w:val="20"/>
    <w:qFormat/>
    <w:rsid w:val="000F7AF5"/>
    <w:rPr>
      <w:i/>
      <w:iCs/>
    </w:rPr>
  </w:style>
  <w:style w:type="character" w:styleId="Strong">
    <w:name w:val="Strong"/>
    <w:basedOn w:val="DefaultParagraphFont"/>
    <w:uiPriority w:val="22"/>
    <w:qFormat/>
    <w:rsid w:val="000F7AF5"/>
    <w:rPr>
      <w:b/>
      <w:bCs/>
    </w:rPr>
  </w:style>
  <w:style w:type="paragraph" w:styleId="NormalWeb">
    <w:name w:val="Normal (Web)"/>
    <w:basedOn w:val="Normal"/>
    <w:uiPriority w:val="99"/>
    <w:unhideWhenUsed/>
    <w:rsid w:val="000F7A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umed.org/crna" TargetMode="External"/><Relationship Id="rId5" Type="http://schemas.openxmlformats.org/officeDocument/2006/relationships/hyperlink" Target="http://www.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Truman Medical Center</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Amber N</dc:creator>
  <cp:lastModifiedBy>Cooper, Jamisha</cp:lastModifiedBy>
  <cp:revision>2</cp:revision>
  <dcterms:created xsi:type="dcterms:W3CDTF">2018-07-20T20:50:00Z</dcterms:created>
  <dcterms:modified xsi:type="dcterms:W3CDTF">2018-07-20T20:50:00Z</dcterms:modified>
</cp:coreProperties>
</file>